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3" w:type="dxa"/>
        <w:tblInd w:w="-1026" w:type="dxa"/>
        <w:tblLook w:val="04A0"/>
      </w:tblPr>
      <w:tblGrid>
        <w:gridCol w:w="10773"/>
      </w:tblGrid>
      <w:tr w:rsidR="00A7041A" w:rsidTr="00A7041A">
        <w:tc>
          <w:tcPr>
            <w:tcW w:w="10773" w:type="dxa"/>
          </w:tcPr>
          <w:p w:rsidR="00A7041A" w:rsidRDefault="00A7041A" w:rsidP="00773E6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A7041A" w:rsidRDefault="00A7041A" w:rsidP="00773E6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041A" w:rsidRDefault="00A7041A" w:rsidP="00773E6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7041A" w:rsidRPr="00A7041A" w:rsidRDefault="00A7041A" w:rsidP="00A7041A">
            <w:pPr>
              <w:pStyle w:val="a3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A7041A">
              <w:rPr>
                <w:rFonts w:ascii="Times New Roman" w:hAnsi="Times New Roman" w:cs="Times New Roman"/>
                <w:sz w:val="48"/>
                <w:szCs w:val="48"/>
              </w:rPr>
              <w:t>Рефлексивный отчет</w:t>
            </w:r>
          </w:p>
          <w:p w:rsidR="00A7041A" w:rsidRPr="00A7041A" w:rsidRDefault="00A7041A" w:rsidP="00A7041A">
            <w:pPr>
              <w:pStyle w:val="a3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A7041A">
              <w:rPr>
                <w:rFonts w:ascii="Times New Roman" w:hAnsi="Times New Roman" w:cs="Times New Roman"/>
                <w:sz w:val="48"/>
                <w:szCs w:val="48"/>
              </w:rPr>
              <w:t xml:space="preserve">на тему </w:t>
            </w:r>
            <w:r w:rsidRPr="00A7041A">
              <w:rPr>
                <w:rFonts w:ascii="Times New Roman" w:hAnsi="Times New Roman" w:cs="Times New Roman"/>
                <w:i/>
                <w:sz w:val="48"/>
                <w:szCs w:val="48"/>
              </w:rPr>
              <w:t>«</w:t>
            </w:r>
            <w:r w:rsidRPr="00A7041A">
              <w:rPr>
                <w:rFonts w:ascii="Times New Roman" w:hAnsi="Times New Roman" w:cs="Times New Roman"/>
                <w:sz w:val="48"/>
                <w:szCs w:val="48"/>
              </w:rPr>
              <w:t xml:space="preserve">Мое обучение в отношении практики </w:t>
            </w:r>
            <w:proofErr w:type="spellStart"/>
            <w:r w:rsidRPr="00A7041A">
              <w:rPr>
                <w:rFonts w:ascii="Times New Roman" w:hAnsi="Times New Roman" w:cs="Times New Roman"/>
                <w:sz w:val="48"/>
                <w:szCs w:val="48"/>
              </w:rPr>
              <w:t>коучинга</w:t>
            </w:r>
            <w:proofErr w:type="spellEnd"/>
            <w:r w:rsidRPr="00A7041A">
              <w:rPr>
                <w:rFonts w:ascii="Times New Roman" w:hAnsi="Times New Roman" w:cs="Times New Roman"/>
                <w:i/>
                <w:sz w:val="48"/>
                <w:szCs w:val="48"/>
              </w:rPr>
              <w:t>»</w:t>
            </w:r>
          </w:p>
          <w:p w:rsidR="00A7041A" w:rsidRPr="00A7041A" w:rsidRDefault="00A7041A" w:rsidP="00773E6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41A" w:rsidRDefault="00A7041A" w:rsidP="00773E6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D704BD">
              <w:rPr>
                <w:rFonts w:ascii="Times New Roman" w:hAnsi="Times New Roman" w:cs="Times New Roman"/>
                <w:sz w:val="28"/>
                <w:szCs w:val="28"/>
              </w:rPr>
              <w:t>Во время прохождения первого этапа Программы второго уровня я узнала о новом раннее неизвестном для меня  понятии «</w:t>
            </w:r>
            <w:proofErr w:type="spellStart"/>
            <w:r w:rsidRPr="00D704BD">
              <w:rPr>
                <w:rFonts w:ascii="Times New Roman" w:hAnsi="Times New Roman" w:cs="Times New Roman"/>
                <w:sz w:val="28"/>
                <w:szCs w:val="28"/>
              </w:rPr>
              <w:t>коучинг</w:t>
            </w:r>
            <w:proofErr w:type="spellEnd"/>
            <w:r w:rsidRPr="00D704BD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переводе с английского   обозначающего наставлять, подготавливать, тренировать. И представляющего собой конфиденциальный,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активный и созидательный процесс взаимодействия коллег.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которого, на основе совместного обдумывания существующих практик преподавания, обмена идеями совершенствуются  их профессиональные знания, имеющиеся навыки и опыт в целях повышения компетентности в отдельных аспектах практики, перехода на качественно иной, более глубокий уровень их понимания, и принятия решений  о практической их реализации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 (</w:t>
            </w:r>
            <w:r w:rsidRPr="003F57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Руководство для учителя второго (среднего) уровня, издание второе – </w:t>
            </w:r>
            <w:proofErr w:type="spellStart"/>
            <w:proofErr w:type="gramStart"/>
            <w:r w:rsidRPr="003F578A">
              <w:rPr>
                <w:rFonts w:ascii="Times New Roman" w:hAnsi="Times New Roman" w:cs="Times New Roman"/>
                <w:i/>
                <w:sz w:val="28"/>
                <w:szCs w:val="28"/>
              </w:rPr>
              <w:t>стр</w:t>
            </w:r>
            <w:proofErr w:type="spellEnd"/>
            <w:proofErr w:type="gramEnd"/>
            <w:r w:rsidRPr="003F57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227)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Нежели семинары, теоретически объясняющие действия учителя в целях изменения его подходов и имеющие незначительную вероятность обеспечения устойчивых изменений в практике преподавания и обучения.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3F57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Руководство для учителя второго (среднего) уровня, издание второе – </w:t>
            </w:r>
            <w:proofErr w:type="spellStart"/>
            <w:proofErr w:type="gramStart"/>
            <w:r w:rsidRPr="003F578A">
              <w:rPr>
                <w:rFonts w:ascii="Times New Roman" w:hAnsi="Times New Roman" w:cs="Times New Roman"/>
                <w:i/>
                <w:sz w:val="28"/>
                <w:szCs w:val="28"/>
              </w:rPr>
              <w:t>стр</w:t>
            </w:r>
            <w:proofErr w:type="spellEnd"/>
            <w:proofErr w:type="gramEnd"/>
            <w:r w:rsidRPr="003F57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158.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Так как о</w:t>
            </w:r>
            <w:r w:rsidRPr="00087736">
              <w:rPr>
                <w:rFonts w:ascii="Times New Roman" w:hAnsi="Times New Roman" w:cs="Times New Roman"/>
                <w:sz w:val="28"/>
                <w:szCs w:val="28"/>
              </w:rPr>
              <w:t xml:space="preserve">дним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приоритетных направлений Программы второго уровня является концентрация внимания на взаимосвязанных процессах совершенствования компетентности учителя и формировании его практики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содействия в профессиональном развитии коллег.</w:t>
            </w:r>
            <w:r w:rsidRPr="001506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3F57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Руководство для учителя второго (среднего) уровня, издание второе – </w:t>
            </w:r>
            <w:proofErr w:type="spellStart"/>
            <w:proofErr w:type="gramStart"/>
            <w:r w:rsidRPr="003F578A">
              <w:rPr>
                <w:rFonts w:ascii="Times New Roman" w:hAnsi="Times New Roman" w:cs="Times New Roman"/>
                <w:i/>
                <w:sz w:val="28"/>
                <w:szCs w:val="28"/>
              </w:rPr>
              <w:t>стр</w:t>
            </w:r>
            <w:proofErr w:type="spellEnd"/>
            <w:proofErr w:type="gramEnd"/>
            <w:r w:rsidRPr="003F57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152).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для практической реализации полученных мною знаний в контексте  идей семи модулей,  на первом этапе   Программы второго уровня  во время похождения практики на базе своей школы,  мною были проведены два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 на темы «Как активизировать деятельность учащихся посредством применения заданий критического мышления?» и «Оценивание в учебном процессе». И после проведения этих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занятий я для себя отметила, что благодаря, например приему «круг радости» направленного на создание  доверительных и положительных отношений на основе сотрудничества и взаимодействия  в самом начале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 мне удалось сплотить учителей в единое целое и это способствовало успешному проведению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занятия. Также следует отметить, что при выборе заданий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занятиях я старалась опираться нате вещи, с которыми они могут столкнуться ежедневно или им интересны из-за их сферы деятельности. И я думаю, что это мне удалось, особенно при составлении кластера на тему «учитель» и при обсуждении видеоролика «Сравнение 5-х и 11-х классов», ведь  это они испытали на собственном опыте. Кроме того, я попыталась донести до учителей, что при помощи даже обычных фотографий и правильно поставленного задания можно поднять заинтересованность и активизировать деятельность учащихся путем развития не только их  критического мышления, но и их коммуникативных навыков.  Это мне удалось при помощи использования  критического мышления на основе визуальных средств.  Кроме того, я, как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должна обладать навыки правильного формулирования открытых вопросов, побуждающих  к мышлению высокого порядка и конструктивному диалогу. На мой взгляд, мне удалось проявить эти навыки при нахождении  ответа на вопрос: «Что Вы, как учитель, можете делать лучше, быстрее, дешевле других?» Выполнение данного задания в группе   побудило учителей посмотреть на себя со стороны и увидеть, что они собою  представляют на самом деле как учителя. Одним из навыков, которым я также должна непременно обладать как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- глубокое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Но, к сожалению, я не смогла его проявить из-за моей нетерпеливости. Вместо того  чтобы выслушать их до конца и акцентировать внимание путем перефразирования или повторения  на том чему они пришли путем совместного обсуждения при выполнении определенного задания  я переходила на другой вид деятельности. Но самым главным навыком, на мой взгляд, которым должен обладать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это уметь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рефлексировать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делать вывод, о том, что получилось, что не получилось, как же  можно было сделать  это иначе в следующий раз. И думаю, проведя эти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занятия,  я смогла приобрести эти навыки. Анализируя сейчас, то, что я делала на данных занятиях, я могу не только видеть допущенные мною ошибки в процессе проведения, но и то, что мне удалось  реализовать лучше всего,  чему же научились мои коллеги и какой же опыт был мною получен.  Ведь раньше проводя уроки, я никогда не задумывалась над тем, что это  мне дало как учителю и как же это может повлиять на мою практику преподавания, а самое главное как это отразилось на  моих учениках. Ознакомившись с идеями Программы второго уровня, проведя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 в рамках прохождения практики,  я поняла, что как многое я упустила как учитель в своей практике преподавания.  Например, при обучении детей, я не только буду планировать уроки в контексте семи модулей Программы второго уровня,  но и реализовывать приобретенные мною навыки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гибкость, глубокое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умение формулировать и задавать открытые вопросы. Которые будут способствовать успешному обучению учащихся и применению полученных ими знаний вне школы, ведь благодаря этому они обучаться тому,  как учиться. А, при  проведении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занятий я буду опираться не только на потребности и интересы учителей, но и на то,  каким образом я могу повлиять на их убеждения и поменять их стереотипы в отношении стиля преподавания: традиционного или чувствующего необходимость что-либо изменить.</w:t>
            </w:r>
          </w:p>
          <w:p w:rsidR="00A7041A" w:rsidRDefault="00A7041A" w:rsidP="00773E6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И мое обучение в отношении практике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поспособствовало моему развитию как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коуча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способного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оказать содействие в усовершенствовании у моих коллег их профессиональной компетентности.</w:t>
            </w:r>
          </w:p>
          <w:p w:rsidR="00A7041A" w:rsidRPr="00A07BE0" w:rsidRDefault="00A7041A" w:rsidP="00773E66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A7041A" w:rsidRPr="00A07BE0" w:rsidRDefault="00A7041A" w:rsidP="00A7041A"/>
    <w:p w:rsidR="00003E6C" w:rsidRPr="00A7041A" w:rsidRDefault="00003E6C" w:rsidP="00A7041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03E6C" w:rsidRPr="00A7041A" w:rsidSect="00A07B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41A"/>
    <w:rsid w:val="00003E6C"/>
    <w:rsid w:val="00A70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041A"/>
    <w:pPr>
      <w:spacing w:after="0" w:line="240" w:lineRule="auto"/>
    </w:pPr>
  </w:style>
  <w:style w:type="table" w:styleId="a4">
    <w:name w:val="Table Grid"/>
    <w:basedOn w:val="a1"/>
    <w:uiPriority w:val="59"/>
    <w:rsid w:val="00A7041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834</Words>
  <Characters>4757</Characters>
  <Application>Microsoft Office Word</Application>
  <DocSecurity>0</DocSecurity>
  <Lines>39</Lines>
  <Paragraphs>11</Paragraphs>
  <ScaleCrop>false</ScaleCrop>
  <Company/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2013-06-08T16:38:00Z</dcterms:created>
  <dcterms:modified xsi:type="dcterms:W3CDTF">2013-06-08T16:41:00Z</dcterms:modified>
</cp:coreProperties>
</file>